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2020医保</w:t>
      </w:r>
      <w:r>
        <w:rPr>
          <w:rFonts w:hint="eastAsia" w:ascii="宋体" w:hAnsi="宋体" w:cs="宋体"/>
          <w:sz w:val="24"/>
          <w:szCs w:val="24"/>
        </w:rPr>
        <w:t>体检项目</w:t>
      </w:r>
      <w:r>
        <w:rPr>
          <w:rFonts w:hint="eastAsia" w:ascii="宋体" w:hAnsi="宋体" w:cs="宋体"/>
          <w:sz w:val="24"/>
          <w:szCs w:val="24"/>
          <w:lang w:eastAsia="zh-CN"/>
        </w:rPr>
        <w:t>为常规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+自选，自选项目：以年龄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45岁（截止201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年12月31日，以省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医疗保障服务中心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信息系统登记为准）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为界限，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45岁以下参检人员在自选项目1、2、3中选择一个，45岁以上（含45岁）参检人员在自选项目4-7中选择一个）。自选项目见下表：</w:t>
      </w:r>
    </w:p>
    <w:tbl>
      <w:tblPr>
        <w:tblStyle w:val="2"/>
        <w:tblW w:w="104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5400"/>
        <w:gridCol w:w="28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2020年医保体检项目表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尿常规+血常规+肝功能九项</w: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（赠送为肝功十项）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+肾功能三项+血脂四项+血糖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必选项目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彩超检查项目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</w: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（女）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+甲状腺+全腹彩超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自选项目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建议检查人群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妇科液基薄层细胞学检查与诊断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已婚女性首选，侧重宫颈癌早筛（近两年已检且结果为阴性者，可选其它选项）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人乳头瘤状病毒分型检测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幽门螺旋杆菌测定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CT平扫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肿瘤家族史、相关病史（CT部位首选肺部）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丙肝抗体测定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肿瘤标志物五项检测（CEA、AFP、CA199、CA724、CA153）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CT平扫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首选项（CT部位首选肺部）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心脏彩超（左心功能测定、普通二维超声心动图）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甲状腺功能三项测定（T3、T4、TSH）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幽门螺旋杆菌测定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45岁以上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CT平扫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首选项（CT部位首选肺部）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颈部血管彩超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心脏彩超（左心功能测定、普通二维超声心动图）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颅内多普勒血流图(TCD)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肿瘤标志物二项检测（CA125、CA153或PSA、FPSA）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胃泌素17检测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肿瘤标志物四项检测（CEA、AFP、CA199、CA724）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甲状腺功能异常者、体重不明原因变化者、腰背关节疼痛不适者、血糖异常者、肿瘤相关家族史、疾病史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肿瘤标志物二项检测（CA125、CA153或PSA、FPSA）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甲状腺功能三项测定（T3、T4、TSH）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糖化血红蛋白定量测定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骨密度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颅内多普勒血流图(TCD)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类风湿三项测定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CT平扫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高血脂、长期服用抗凝药物、腰背疼痛不适者、肿瘤相关家族史、相关疾病史（CT部位首选肺部）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颈部血管彩超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幽门螺旋杆菌测定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凝血功能四项</w:t>
            </w:r>
            <w:r>
              <w:rPr>
                <w:rFonts w:hint="eastAsia" w:ascii="微软雅黑" w:hAnsi="微软雅黑" w:eastAsia="微软雅黑" w:cs="微软雅黑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（赠送为血凝六项）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肿瘤标志物二项检测（CA125、CA153或PSA、FPSA）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颅内多普勒血流图(TCD)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骨密度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妇科液基薄层细胞学检查与诊断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已婚女性首选，侧重宫颈癌早筛（近两年已检且结果为阴性者，可选其它选项）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乳腺钼靶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人乳头瘤状病毒分型检测</w:t>
            </w: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5CCE"/>
    <w:rsid w:val="03B359D5"/>
    <w:rsid w:val="07991DF7"/>
    <w:rsid w:val="085869AC"/>
    <w:rsid w:val="08973ECA"/>
    <w:rsid w:val="09587CAB"/>
    <w:rsid w:val="0A3C373D"/>
    <w:rsid w:val="0FFF18C6"/>
    <w:rsid w:val="17473DEA"/>
    <w:rsid w:val="17A52B11"/>
    <w:rsid w:val="18DB4CCA"/>
    <w:rsid w:val="194813D1"/>
    <w:rsid w:val="20442EEA"/>
    <w:rsid w:val="24B0693B"/>
    <w:rsid w:val="2F5E3DA3"/>
    <w:rsid w:val="31173C23"/>
    <w:rsid w:val="33395CCE"/>
    <w:rsid w:val="38FC5C70"/>
    <w:rsid w:val="39191A66"/>
    <w:rsid w:val="438047F7"/>
    <w:rsid w:val="4F266B2B"/>
    <w:rsid w:val="55A1414C"/>
    <w:rsid w:val="594F736D"/>
    <w:rsid w:val="5AA77F66"/>
    <w:rsid w:val="60334B32"/>
    <w:rsid w:val="622D02BB"/>
    <w:rsid w:val="6DBC356A"/>
    <w:rsid w:val="78D66B87"/>
    <w:rsid w:val="7C4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hint="eastAsia" w:ascii="微软雅黑" w:hAnsi="微软雅黑" w:eastAsia="微软雅黑" w:cs="微软雅黑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2017-11-30T08:45:00Z</dcterms:created>
  <dc:creator>D</dc:creator>
  <cp:lastModifiedBy>looo</cp:lastModifiedBy>
  <cp:lastPrinted>2020-09-28T00:36:00Z</cp:lastPrinted>
  <dcterms:modified xsi:type="dcterms:W3CDTF">2020-11-05T00:45:46Z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