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</w:rPr>
        <w:fldChar w:fldCharType="begin"/>
      </w:r>
      <w:r>
        <w:rPr>
          <w:rFonts w:hint="default"/>
          <w:b/>
          <w:bCs/>
          <w:sz w:val="28"/>
          <w:szCs w:val="28"/>
        </w:rPr>
        <w:instrText xml:space="preserve"> HYPERLINK "http://www5.ncwu.edu.cn/upload/files/2017/4/28151347563.doc" </w:instrText>
      </w:r>
      <w:r>
        <w:rPr>
          <w:rFonts w:hint="default"/>
          <w:b/>
          <w:bCs/>
          <w:sz w:val="28"/>
          <w:szCs w:val="28"/>
        </w:rPr>
        <w:fldChar w:fldCharType="separate"/>
      </w:r>
      <w:r>
        <w:rPr>
          <w:rFonts w:hint="default"/>
          <w:b/>
          <w:bCs/>
          <w:sz w:val="28"/>
          <w:szCs w:val="28"/>
        </w:rPr>
        <w:t>华北水利水电大学</w:t>
      </w:r>
      <w:r>
        <w:rPr>
          <w:rFonts w:hint="eastAsia"/>
          <w:b/>
          <w:bCs/>
          <w:sz w:val="28"/>
          <w:szCs w:val="28"/>
          <w:lang w:eastAsia="zh-CN"/>
        </w:rPr>
        <w:t>第二批</w:t>
      </w:r>
      <w:r>
        <w:rPr>
          <w:rFonts w:hint="default"/>
          <w:b/>
          <w:bCs/>
          <w:sz w:val="28"/>
          <w:szCs w:val="28"/>
        </w:rPr>
        <w:t>大学生创新创业实践基地名单</w:t>
      </w:r>
      <w:r>
        <w:rPr>
          <w:rFonts w:hint="default"/>
          <w:b/>
          <w:bCs/>
          <w:sz w:val="28"/>
          <w:szCs w:val="28"/>
        </w:rPr>
        <w:fldChar w:fldCharType="end"/>
      </w:r>
    </w:p>
    <w:tbl>
      <w:tblPr>
        <w:tblStyle w:val="3"/>
        <w:tblW w:w="899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9"/>
        <w:gridCol w:w="3854"/>
        <w:gridCol w:w="2355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实验室名称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流动可视化实验室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电力学院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机械工程与自动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化实验室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许兰贵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统计与金融工程实验中心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河南省生态建材工程国际联合实验室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土木与交通学院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赵顺波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土木交通综合训练实验教学中心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土木与交通学院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汪志昊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建筑与艺术实验中心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材料学院大学生科技创新中心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郝用兴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夏庄惠民扶贫创业工厂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司保江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619F3"/>
    <w:rsid w:val="64661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2018-12-11T03:36:00Z</dcterms:created>
  <dc:creator>Administrator</dc:creator>
  <cp:lastModifiedBy>Administrator</cp:lastModifiedBy>
  <dcterms:modified xsi:type="dcterms:W3CDTF">2018-12-11T03:36:59Z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