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D89" w:rsidRPr="007A3D01" w:rsidRDefault="00E33D89" w:rsidP="007A3D01">
      <w:pPr>
        <w:snapToGrid w:val="0"/>
        <w:jc w:val="center"/>
        <w:rPr>
          <w:rFonts w:ascii="方正小标宋简体" w:eastAsia="方正小标宋简体" w:hAnsi="黑体" w:hint="eastAsia"/>
          <w:spacing w:val="-12"/>
          <w:sz w:val="40"/>
          <w:szCs w:val="44"/>
        </w:rPr>
      </w:pPr>
      <w:r w:rsidRPr="007A3D01">
        <w:rPr>
          <w:rFonts w:ascii="方正小标宋简体" w:eastAsia="方正小标宋简体" w:hAnsi="黑体" w:hint="eastAsia"/>
          <w:spacing w:val="-12"/>
          <w:sz w:val="40"/>
          <w:szCs w:val="44"/>
        </w:rPr>
        <w:t>河南省高校精品在线开放课程建设标准（试行）</w:t>
      </w:r>
    </w:p>
    <w:p w:rsidR="00E33D89" w:rsidRPr="00E33D89" w:rsidRDefault="00E33D89" w:rsidP="00E33D89">
      <w:pPr>
        <w:spacing w:line="360" w:lineRule="auto"/>
        <w:ind w:firstLine="600"/>
        <w:rPr>
          <w:rFonts w:ascii="仿宋" w:eastAsia="仿宋" w:hAnsi="仿宋"/>
          <w:bCs/>
          <w:szCs w:val="32"/>
        </w:rPr>
      </w:pPr>
      <w:r w:rsidRPr="00E33D89">
        <w:rPr>
          <w:rFonts w:ascii="仿宋" w:eastAsia="仿宋" w:hAnsi="仿宋" w:hint="eastAsia"/>
          <w:bCs/>
          <w:szCs w:val="32"/>
        </w:rPr>
        <w:t>一、</w:t>
      </w:r>
      <w:r w:rsidRPr="00E33D89">
        <w:rPr>
          <w:rFonts w:ascii="仿宋" w:eastAsia="仿宋" w:hAnsi="仿宋" w:hint="eastAsia"/>
          <w:szCs w:val="32"/>
        </w:rPr>
        <w:t>课程建设总体要求</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 教学内容与资源。根据预设教学目标、学科特点、学生认知规</w:t>
      </w:r>
      <w:bookmarkStart w:id="0" w:name="_GoBack"/>
      <w:bookmarkEnd w:id="0"/>
      <w:r w:rsidRPr="00E33D89">
        <w:rPr>
          <w:rFonts w:ascii="仿宋" w:eastAsia="仿宋" w:hAnsi="仿宋" w:hint="eastAsia"/>
          <w:szCs w:val="32"/>
        </w:rPr>
        <w:t>律及教学方式，围绕学科核心概念及教学内容和资源间关系，颗粒化组织教学内容及资源、设置教学情境，形成围绕知识点展开、清晰表达知识框架的短视频模块集。每个短视频应针对各模块知识点或专题设置内嵌测试的作业题或讨论题，以帮助学习者掌握学习内容或测试学习者学习效果，时长以5-20分钟为宜。每门课程应有负责人介绍、课程介绍、教学大纲、预备知识、教学辅导、参考资料、考核方式、在线作业、在线题库和在线答疑等。课程设置应与本校课堂教学的要求相当。</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高职类课程应能够覆盖该课程所有知识点和岗位技能点，应依据技术领域和职业岗位（群）的任职要求，参照相关职业资格标准，从职业岗位能力分析出发，基于工作过程系统等先进职教理念开发课程体系和改革教学内容，并将专业建设、课程改革成果应用到省级精品在线开放课程。</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课程资源应力求丰富多样，在数量和类型上大大超出结构化课程所调用的资源范围，实现资源冗余，以方便教师自主搭建课程和学生拓展学习。表现形式上，要合理使用文本、图形（图像）、音频、视频、动画和虚拟仿真等各类素材，充分发挥信息技术优化传统教学的优势，提高微课程、动画、</w:t>
      </w:r>
      <w:r w:rsidRPr="00E33D89">
        <w:rPr>
          <w:rFonts w:ascii="仿宋" w:eastAsia="仿宋" w:hAnsi="仿宋" w:hint="eastAsia"/>
          <w:szCs w:val="32"/>
        </w:rPr>
        <w:lastRenderedPageBreak/>
        <w:t>虚拟仿真等资源比例。应按照资源的内容和性质，科学全面地标注资源属性，方便资源的检索和智能重组。资源的形式规格应遵循行业通行的网络教育技术标准。</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 教学设计与方法。要遵循有效教学的基本规律，结合在线开放课程教学的特征与需求进行整体的教学设计。围绕教学目标精心设计教学活动，科学规划在线学习资源，明确学业评价策略和学习激励措施。课程设计、教学安排和呈现方式符合学习者移动学习和混合式教学的需求。开展在线学习与课堂教学相结合、翻转课堂等多种方式的课堂教学模式，优先支持具有混合式学习等改革实践经验的课程。</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 教学活动与评价。要重视学习任务与活动设计，积极开展案例式、混合式、探究式等多种教学模式的学习，通过网页插入式在线测试，即时网上辅导反馈，线上、线下讨论答疑，网上作业布置、提交和批改，网上社区讨论等，促进师生之间、学生之间进行资源共享、问题交流和协作学习，加强师生课堂与课下的互动，激发学生学习兴趣。</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建立多元化学习评价体系，</w:t>
      </w:r>
      <w:proofErr w:type="gramStart"/>
      <w:r w:rsidRPr="00E33D89">
        <w:rPr>
          <w:rFonts w:ascii="仿宋" w:eastAsia="仿宋" w:hAnsi="仿宋" w:hint="eastAsia"/>
          <w:szCs w:val="32"/>
        </w:rPr>
        <w:t>探索线</w:t>
      </w:r>
      <w:proofErr w:type="gramEnd"/>
      <w:r w:rsidRPr="00E33D89">
        <w:rPr>
          <w:rFonts w:ascii="仿宋" w:eastAsia="仿宋" w:hAnsi="仿宋" w:hint="eastAsia"/>
          <w:szCs w:val="32"/>
        </w:rPr>
        <w:t>上和线下融合，过程性评价与终结性评价相结合的多元化考核评价模式，促进学生自主性学习、过程性学习和体验式学习。课程成绩由过程性考核和终结性考核综合评定。</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4. 教学效果与影响。要注重对教学效果的跟踪评价并开展教学研究工作。基于大数据信息采集分析，全程记录和跟</w:t>
      </w:r>
      <w:r w:rsidRPr="00E33D89">
        <w:rPr>
          <w:rFonts w:ascii="仿宋" w:eastAsia="仿宋" w:hAnsi="仿宋" w:hint="eastAsia"/>
          <w:szCs w:val="32"/>
        </w:rPr>
        <w:lastRenderedPageBreak/>
        <w:t>踪教师的教学和学生的学习过程、内容、反馈，全面跟踪和掌握每个学生的个性特点、学习行为，改进学校及教师的教学质量，促进因材施教。</w:t>
      </w:r>
    </w:p>
    <w:p w:rsidR="00E33D89" w:rsidRPr="00E33D89" w:rsidRDefault="00E33D89" w:rsidP="00E33D89">
      <w:pPr>
        <w:spacing w:line="360" w:lineRule="auto"/>
        <w:ind w:firstLine="600"/>
        <w:rPr>
          <w:rFonts w:ascii="仿宋" w:eastAsia="仿宋" w:hAnsi="仿宋"/>
          <w:color w:val="000000"/>
          <w:szCs w:val="32"/>
        </w:rPr>
      </w:pPr>
      <w:r w:rsidRPr="00E33D89">
        <w:rPr>
          <w:rFonts w:ascii="仿宋" w:eastAsia="仿宋" w:hAnsi="仿宋" w:hint="eastAsia"/>
          <w:szCs w:val="32"/>
        </w:rPr>
        <w:t>充分发挥课程共享作用，推进在线开放课程学分认定和学分管理制度创新。支持各高校之间在合作、共赢、协议的基础上实现在线开放共享课程的互认。课程的初始学分由推荐该课程的高校设定，其它高校可在双方协议的基础上，根据本校专业设置和课程学分设置标准自行认定学分。</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5. 团队支持与服务。课程建设负责人应为高校正式聘用，具有丰富的教学经验和较高的学术造诣的教师，课程组成员均在教学一线长期承担本课程教学任务。支持和鼓励教学名师、知名专家主讲开放课程。除主讲教师外，还需配备必要助理教师和现代教育技术人员，能长期在线服务课程建设，承担课程内容更新、在线辅导、答疑等。课程正式运行后，能保证每学年都对外校开放。课程团队应负责课程相关教师的培训及教学研讨工作。通过在线开放课程建设，形成一支教学、辅导、设计和技术支持等结构合理、人员稳定、教学水平高、教学效果好、资源设计和制作能力强的优秀课程教学团队。</w:t>
      </w:r>
    </w:p>
    <w:p w:rsidR="00E33D89" w:rsidRPr="00E33D89" w:rsidRDefault="00E33D89" w:rsidP="00E33D89">
      <w:pPr>
        <w:spacing w:line="360" w:lineRule="auto"/>
        <w:ind w:firstLineChars="150" w:firstLine="480"/>
        <w:rPr>
          <w:rFonts w:ascii="仿宋" w:eastAsia="仿宋" w:hAnsi="仿宋"/>
          <w:szCs w:val="32"/>
        </w:rPr>
      </w:pPr>
      <w:r w:rsidRPr="00E33D89">
        <w:rPr>
          <w:rFonts w:ascii="仿宋" w:eastAsia="仿宋" w:hAnsi="仿宋" w:hint="eastAsia"/>
          <w:szCs w:val="32"/>
        </w:rPr>
        <w:t>6. 信息安全及知识产权保障。严格遵守国家网络与信息安全管理规范，依法依规开展教学活动，实施对课程内容、讨论内容、学习过程内容的有效监管，防范和及时制止网络</w:t>
      </w:r>
      <w:r w:rsidRPr="00E33D89">
        <w:rPr>
          <w:rFonts w:ascii="仿宋" w:eastAsia="仿宋" w:hAnsi="仿宋" w:hint="eastAsia"/>
          <w:szCs w:val="32"/>
        </w:rPr>
        <w:lastRenderedPageBreak/>
        <w:t>有害信息的传播。重视版权和知识产权问题，构建课程内容所使用的图片、音视频等素材应注明出处。相关高校、课程建设团队均须签订平等互利的知识产权保障协议，明确各方权利和义务，切实保障各方权益。</w:t>
      </w:r>
    </w:p>
    <w:p w:rsidR="00E33D89" w:rsidRPr="00E33D89" w:rsidRDefault="00E33D89" w:rsidP="00E33D89">
      <w:pPr>
        <w:spacing w:line="360" w:lineRule="auto"/>
        <w:ind w:firstLine="600"/>
        <w:rPr>
          <w:rFonts w:ascii="仿宋" w:eastAsia="仿宋" w:hAnsi="仿宋"/>
          <w:color w:val="000000"/>
          <w:szCs w:val="32"/>
        </w:rPr>
      </w:pPr>
      <w:r w:rsidRPr="00E33D89">
        <w:rPr>
          <w:rFonts w:ascii="仿宋" w:eastAsia="仿宋" w:hAnsi="仿宋" w:hint="eastAsia"/>
          <w:szCs w:val="32"/>
        </w:rPr>
        <w:t>二、课程视频制作规范</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（一）视频内容</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1.屏幕图像的构图合理，画面主体突出。人像及肢体动作以及配合讲授选用的板书、画板、教具实物、模型和实验设备等均不能超出镜头所及范围。</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2.授课视频的</w:t>
      </w:r>
      <w:proofErr w:type="gramStart"/>
      <w:r w:rsidRPr="00E33D89">
        <w:rPr>
          <w:rFonts w:ascii="仿宋" w:eastAsia="仿宋" w:hAnsi="仿宋" w:hint="eastAsia"/>
          <w:szCs w:val="32"/>
        </w:rPr>
        <w:t>的</w:t>
      </w:r>
      <w:proofErr w:type="gramEnd"/>
      <w:r w:rsidRPr="00E33D89">
        <w:rPr>
          <w:rFonts w:ascii="仿宋" w:eastAsia="仿宋" w:hAnsi="仿宋" w:hint="eastAsia"/>
          <w:szCs w:val="32"/>
        </w:rPr>
        <w:t>背景可采用彩色喷绘、电脑虚拟或现场实景等背景。背景的颜色、图案不易过多，应保持静态，画面应简洁、明快，有利于营造学习气氛。</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3.摄像镜头应保持与主讲教师目光平视的角度。主讲教师不应较长时间仰视或俯视。</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4.使用资料、图片、外景实拍、实验和表演等形象化教学手段，应符合教学内容要求，与讲授内容联系紧密，手段选用恰当。</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5.选用影视作品或自拍素材，应注明素材来源。影视作品或自拍素材中涉及人物访谈内容时，应加注人物介绍。</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6.选用的资料、图片等素材画面应清楚，对于历史资料、图片应进行再加工。选用的资料、图片等素材应注明素材来源及原始信息（如字画的作品、生卒年月，影视片断的作品</w:t>
      </w:r>
      <w:r w:rsidRPr="00E33D89">
        <w:rPr>
          <w:rFonts w:ascii="仿宋" w:eastAsia="仿宋" w:hAnsi="仿宋" w:hint="eastAsia"/>
          <w:szCs w:val="32"/>
        </w:rPr>
        <w:lastRenderedPageBreak/>
        <w:t>名称、创作年代等信息）。</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7.动画的设计与使用，要与课程内容相贴切，能够发挥良好的教学效果。</w:t>
      </w:r>
    </w:p>
    <w:p w:rsidR="00E33D89" w:rsidRPr="00E33D89" w:rsidRDefault="00E33D89" w:rsidP="00E33D89">
      <w:pPr>
        <w:spacing w:line="360" w:lineRule="auto"/>
        <w:ind w:firstLineChars="200" w:firstLine="640"/>
        <w:rPr>
          <w:rFonts w:ascii="仿宋" w:eastAsia="仿宋" w:hAnsi="仿宋"/>
          <w:szCs w:val="32"/>
        </w:rPr>
      </w:pPr>
      <w:r w:rsidRPr="00E33D89">
        <w:rPr>
          <w:rFonts w:ascii="仿宋" w:eastAsia="仿宋" w:hAnsi="仿宋" w:hint="eastAsia"/>
          <w:szCs w:val="32"/>
        </w:rPr>
        <w:t>8.动画的实现须流畅、合理、图像清晰，具有较强的可视性。</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（二）视频技术规格</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1.视频信号源</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（1）稳定性：全片图像同步性能稳定，无失步现象，图像无抖动跳跃，色彩无突变，编辑点处图像稳定。</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（2）色调：白平衡正确，无明显偏色，多机拍摄的镜头衔接处无明显色差。</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（3）画幅：建议采用16:9，720p或1080p。</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2.音频信号源</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（1）声道：教师讲授内容音频信号记录于第1声道，音乐、音效、同期</w:t>
      </w:r>
      <w:proofErr w:type="gramStart"/>
      <w:r w:rsidRPr="00E33D89">
        <w:rPr>
          <w:rFonts w:ascii="仿宋" w:eastAsia="仿宋" w:hAnsi="仿宋" w:hint="eastAsia"/>
          <w:szCs w:val="32"/>
        </w:rPr>
        <w:t>声记录</w:t>
      </w:r>
      <w:proofErr w:type="gramEnd"/>
      <w:r w:rsidRPr="00E33D89">
        <w:rPr>
          <w:rFonts w:ascii="仿宋" w:eastAsia="仿宋" w:hAnsi="仿宋" w:hint="eastAsia"/>
          <w:szCs w:val="32"/>
        </w:rPr>
        <w:t>于第2声道，若有其他文字解说记录于第3声道(如录音设备无第3声道,则录于第2声道)。</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（4）声音和画面要求同步，</w:t>
      </w:r>
      <w:proofErr w:type="gramStart"/>
      <w:r w:rsidRPr="00E33D89">
        <w:rPr>
          <w:rFonts w:ascii="仿宋" w:eastAsia="仿宋" w:hAnsi="仿宋" w:hint="eastAsia"/>
          <w:szCs w:val="32"/>
        </w:rPr>
        <w:t>无交流</w:t>
      </w:r>
      <w:proofErr w:type="gramEnd"/>
      <w:r w:rsidRPr="00E33D89">
        <w:rPr>
          <w:rFonts w:ascii="仿宋" w:eastAsia="仿宋" w:hAnsi="仿宋" w:hint="eastAsia"/>
          <w:szCs w:val="32"/>
        </w:rPr>
        <w:t>声或其他杂音等缺陷。</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（5）伴音清晰、饱满、圆润，无失真、噪声杂音干扰、音量忽大忽小现象。解说声与现场声无明显比例失调，解说声与背景音乐无明显比例失调。</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3.视频压缩格式及技术参数</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（1）视频压缩采用H.264/AVC (MPEG-4 Part10)编码、</w:t>
      </w:r>
      <w:r w:rsidRPr="00E33D89">
        <w:rPr>
          <w:rFonts w:ascii="仿宋" w:eastAsia="仿宋" w:hAnsi="仿宋" w:hint="eastAsia"/>
          <w:szCs w:val="32"/>
        </w:rPr>
        <w:lastRenderedPageBreak/>
        <w:t>使用二次编码、不包含字幕的MP4格式。</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（2）视频码流率：动态码流的最低码率不得低于1024Kb</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（3）视频分辨率</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前期采用高清16:9拍摄，请设定为 1280×720或1920×1080。</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（4）视频画幅宽高比</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视频画幅宽高比为16:9，分辨率设定为1280×720或1920×1080</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（5）</w:t>
      </w:r>
      <w:proofErr w:type="gramStart"/>
      <w:r w:rsidRPr="00E33D89">
        <w:rPr>
          <w:rFonts w:ascii="仿宋" w:eastAsia="仿宋" w:hAnsi="仿宋" w:hint="eastAsia"/>
          <w:szCs w:val="32"/>
        </w:rPr>
        <w:t>视频帧率为</w:t>
      </w:r>
      <w:proofErr w:type="gramEnd"/>
      <w:r w:rsidRPr="00E33D89">
        <w:rPr>
          <w:rFonts w:ascii="仿宋" w:eastAsia="仿宋" w:hAnsi="仿宋" w:hint="eastAsia"/>
          <w:szCs w:val="32"/>
        </w:rPr>
        <w:t>25帧/秒</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（6）扫描方式采用逐行扫描</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4.音频压缩格式及技术参数</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（1）音频压缩采用AAC(MPEG4 Part3)格式</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 xml:space="preserve">（2）采样率48KHz </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（3）音频码流率128Kbps (恒定)</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（4）必须是双声道，</w:t>
      </w:r>
      <w:proofErr w:type="gramStart"/>
      <w:r w:rsidRPr="00E33D89">
        <w:rPr>
          <w:rFonts w:ascii="仿宋" w:eastAsia="仿宋" w:hAnsi="仿宋" w:hint="eastAsia"/>
          <w:szCs w:val="32"/>
        </w:rPr>
        <w:t>必须做混音</w:t>
      </w:r>
      <w:proofErr w:type="gramEnd"/>
      <w:r w:rsidRPr="00E33D89">
        <w:rPr>
          <w:rFonts w:ascii="仿宋" w:eastAsia="仿宋" w:hAnsi="仿宋" w:hint="eastAsia"/>
          <w:szCs w:val="32"/>
        </w:rPr>
        <w:t>处理。</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5.封装</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视频采用MP4封装，单个视频文件小于200MB。</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字幕文件采用SRT格式，中英文字幕需分成两个SRT文件。</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（三）演示文稿（PPT）制作规范</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1.制作原则</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（1）演示文稿（PPT）内容丰富，可集文字、图形、图</w:t>
      </w:r>
      <w:r w:rsidRPr="00E33D89">
        <w:rPr>
          <w:rFonts w:ascii="仿宋" w:eastAsia="仿宋" w:hAnsi="仿宋" w:hint="eastAsia"/>
          <w:szCs w:val="32"/>
        </w:rPr>
        <w:lastRenderedPageBreak/>
        <w:t>像、声音以及视频等多种媒体元素于一体。</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（2）页面设置要求符合高清格式比例，幻灯片大小为“全屏显示16：</w:t>
      </w:r>
      <w:smartTag w:uri="urn:schemas-microsoft-com:office:smarttags" w:element="chmetcnv">
        <w:smartTagPr>
          <w:attr w:name="UnitName" w:val="”"/>
          <w:attr w:name="SourceValue" w:val="9"/>
          <w:attr w:name="HasSpace" w:val="False"/>
          <w:attr w:name="Negative" w:val="False"/>
          <w:attr w:name="NumberType" w:val="1"/>
          <w:attr w:name="TCSC" w:val="0"/>
        </w:smartTagPr>
        <w:r w:rsidRPr="00E33D89">
          <w:rPr>
            <w:rFonts w:ascii="仿宋" w:eastAsia="仿宋" w:hAnsi="仿宋" w:hint="eastAsia"/>
            <w:szCs w:val="32"/>
          </w:rPr>
          <w:t>9”</w:t>
        </w:r>
      </w:smartTag>
      <w:r w:rsidRPr="00E33D89">
        <w:rPr>
          <w:rFonts w:ascii="仿宋" w:eastAsia="仿宋" w:hAnsi="仿宋" w:hint="eastAsia"/>
          <w:szCs w:val="32"/>
        </w:rPr>
        <w:t>。</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（3）整体效果应风格统一、色彩协调、美观大方。</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2.字体与字号</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字体与字号参照下表：</w:t>
      </w:r>
    </w:p>
    <w:tbl>
      <w:tblPr>
        <w:tblpPr w:leftFromText="180" w:rightFromText="180" w:vertAnchor="text" w:horzAnchor="margin" w:tblpXSpec="center" w:tblpY="213"/>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
        <w:gridCol w:w="1905"/>
        <w:gridCol w:w="1395"/>
        <w:gridCol w:w="1550"/>
        <w:gridCol w:w="1860"/>
        <w:gridCol w:w="1240"/>
      </w:tblGrid>
      <w:tr w:rsidR="00E33D89" w:rsidRPr="00E33D89" w:rsidTr="004B687E">
        <w:tc>
          <w:tcPr>
            <w:tcW w:w="88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类型</w:t>
            </w:r>
          </w:p>
        </w:tc>
        <w:tc>
          <w:tcPr>
            <w:tcW w:w="190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大标题</w:t>
            </w:r>
          </w:p>
        </w:tc>
        <w:tc>
          <w:tcPr>
            <w:tcW w:w="139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主讲信息</w:t>
            </w:r>
          </w:p>
        </w:tc>
        <w:tc>
          <w:tcPr>
            <w:tcW w:w="155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一级标题</w:t>
            </w:r>
          </w:p>
        </w:tc>
        <w:tc>
          <w:tcPr>
            <w:tcW w:w="186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正文</w:t>
            </w:r>
          </w:p>
        </w:tc>
        <w:tc>
          <w:tcPr>
            <w:tcW w:w="124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字幕</w:t>
            </w:r>
          </w:p>
        </w:tc>
      </w:tr>
      <w:tr w:rsidR="00E33D89" w:rsidRPr="00E33D89" w:rsidTr="004B687E">
        <w:tc>
          <w:tcPr>
            <w:tcW w:w="88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字体</w:t>
            </w:r>
          </w:p>
        </w:tc>
        <w:tc>
          <w:tcPr>
            <w:tcW w:w="190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大黑、时尚中黑、大隶书</w:t>
            </w:r>
          </w:p>
        </w:tc>
        <w:tc>
          <w:tcPr>
            <w:tcW w:w="139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黑体</w:t>
            </w:r>
          </w:p>
        </w:tc>
        <w:tc>
          <w:tcPr>
            <w:tcW w:w="155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黑体、魏碑、大宋</w:t>
            </w:r>
          </w:p>
        </w:tc>
        <w:tc>
          <w:tcPr>
            <w:tcW w:w="186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雅黑、中宋</w:t>
            </w:r>
          </w:p>
        </w:tc>
        <w:tc>
          <w:tcPr>
            <w:tcW w:w="124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雅黑</w:t>
            </w:r>
          </w:p>
        </w:tc>
      </w:tr>
      <w:tr w:rsidR="00E33D89" w:rsidRPr="00E33D89" w:rsidTr="004B687E">
        <w:tc>
          <w:tcPr>
            <w:tcW w:w="88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字号</w:t>
            </w:r>
          </w:p>
        </w:tc>
        <w:tc>
          <w:tcPr>
            <w:tcW w:w="190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szCs w:val="32"/>
              </w:rPr>
              <w:t>50</w:t>
            </w:r>
            <w:r w:rsidRPr="00E33D89">
              <w:rPr>
                <w:rFonts w:ascii="仿宋" w:eastAsia="仿宋" w:hAnsi="仿宋" w:hint="eastAsia"/>
                <w:szCs w:val="32"/>
              </w:rPr>
              <w:t>～</w:t>
            </w:r>
            <w:smartTag w:uri="urn:schemas-microsoft-com:office:smarttags" w:element="chmetcnv">
              <w:smartTagPr>
                <w:attr w:name="UnitName" w:val="磅"/>
                <w:attr w:name="SourceValue" w:val="70"/>
                <w:attr w:name="HasSpace" w:val="False"/>
                <w:attr w:name="Negative" w:val="False"/>
                <w:attr w:name="NumberType" w:val="1"/>
                <w:attr w:name="TCSC" w:val="0"/>
              </w:smartTagPr>
              <w:r w:rsidRPr="00E33D89">
                <w:rPr>
                  <w:rFonts w:ascii="仿宋" w:eastAsia="仿宋" w:hAnsi="仿宋"/>
                  <w:szCs w:val="32"/>
                </w:rPr>
                <w:t>70</w:t>
              </w:r>
              <w:r w:rsidRPr="00E33D89">
                <w:rPr>
                  <w:rFonts w:ascii="仿宋" w:eastAsia="仿宋" w:hAnsi="仿宋" w:hint="eastAsia"/>
                  <w:szCs w:val="32"/>
                </w:rPr>
                <w:t>磅</w:t>
              </w:r>
            </w:smartTag>
          </w:p>
        </w:tc>
        <w:tc>
          <w:tcPr>
            <w:tcW w:w="139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szCs w:val="32"/>
              </w:rPr>
              <w:t>36</w:t>
            </w:r>
            <w:r w:rsidRPr="00E33D89">
              <w:rPr>
                <w:rFonts w:ascii="仿宋" w:eastAsia="仿宋" w:hAnsi="仿宋" w:hint="eastAsia"/>
                <w:szCs w:val="32"/>
              </w:rPr>
              <w:t>～</w:t>
            </w:r>
            <w:smartTag w:uri="urn:schemas-microsoft-com:office:smarttags" w:element="chmetcnv">
              <w:smartTagPr>
                <w:attr w:name="UnitName" w:val="磅"/>
                <w:attr w:name="SourceValue" w:val="40"/>
                <w:attr w:name="HasSpace" w:val="False"/>
                <w:attr w:name="Negative" w:val="False"/>
                <w:attr w:name="NumberType" w:val="1"/>
                <w:attr w:name="TCSC" w:val="0"/>
              </w:smartTagPr>
              <w:r w:rsidRPr="00E33D89">
                <w:rPr>
                  <w:rFonts w:ascii="仿宋" w:eastAsia="仿宋" w:hAnsi="仿宋"/>
                  <w:szCs w:val="32"/>
                </w:rPr>
                <w:t>40</w:t>
              </w:r>
              <w:r w:rsidRPr="00E33D89">
                <w:rPr>
                  <w:rFonts w:ascii="仿宋" w:eastAsia="仿宋" w:hAnsi="仿宋" w:hint="eastAsia"/>
                  <w:szCs w:val="32"/>
                </w:rPr>
                <w:t>磅</w:t>
              </w:r>
            </w:smartTag>
          </w:p>
        </w:tc>
        <w:tc>
          <w:tcPr>
            <w:tcW w:w="155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szCs w:val="32"/>
              </w:rPr>
              <w:t>36</w:t>
            </w:r>
            <w:r w:rsidRPr="00E33D89">
              <w:rPr>
                <w:rFonts w:ascii="仿宋" w:eastAsia="仿宋" w:hAnsi="仿宋" w:hint="eastAsia"/>
                <w:szCs w:val="32"/>
              </w:rPr>
              <w:t>～</w:t>
            </w:r>
            <w:smartTag w:uri="urn:schemas-microsoft-com:office:smarttags" w:element="chmetcnv">
              <w:smartTagPr>
                <w:attr w:name="UnitName" w:val="磅"/>
                <w:attr w:name="SourceValue" w:val="40"/>
                <w:attr w:name="HasSpace" w:val="False"/>
                <w:attr w:name="Negative" w:val="False"/>
                <w:attr w:name="NumberType" w:val="1"/>
                <w:attr w:name="TCSC" w:val="0"/>
              </w:smartTagPr>
              <w:r w:rsidRPr="00E33D89">
                <w:rPr>
                  <w:rFonts w:ascii="仿宋" w:eastAsia="仿宋" w:hAnsi="仿宋"/>
                  <w:szCs w:val="32"/>
                </w:rPr>
                <w:t>40</w:t>
              </w:r>
              <w:r w:rsidRPr="00E33D89">
                <w:rPr>
                  <w:rFonts w:ascii="仿宋" w:eastAsia="仿宋" w:hAnsi="仿宋" w:hint="eastAsia"/>
                  <w:szCs w:val="32"/>
                </w:rPr>
                <w:t>磅</w:t>
              </w:r>
            </w:smartTag>
          </w:p>
        </w:tc>
        <w:tc>
          <w:tcPr>
            <w:tcW w:w="186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szCs w:val="32"/>
              </w:rPr>
              <w:t>24</w:t>
            </w:r>
            <w:r w:rsidRPr="00E33D89">
              <w:rPr>
                <w:rFonts w:ascii="仿宋" w:eastAsia="仿宋" w:hAnsi="仿宋" w:hint="eastAsia"/>
                <w:szCs w:val="32"/>
              </w:rPr>
              <w:t>～</w:t>
            </w:r>
            <w:smartTag w:uri="urn:schemas-microsoft-com:office:smarttags" w:element="chmetcnv">
              <w:smartTagPr>
                <w:attr w:name="UnitName" w:val="磅"/>
                <w:attr w:name="SourceValue" w:val="32"/>
                <w:attr w:name="HasSpace" w:val="False"/>
                <w:attr w:name="Negative" w:val="False"/>
                <w:attr w:name="NumberType" w:val="1"/>
                <w:attr w:name="TCSC" w:val="0"/>
              </w:smartTagPr>
              <w:r w:rsidRPr="00E33D89">
                <w:rPr>
                  <w:rFonts w:ascii="仿宋" w:eastAsia="仿宋" w:hAnsi="仿宋"/>
                  <w:szCs w:val="32"/>
                </w:rPr>
                <w:t>32</w:t>
              </w:r>
              <w:r w:rsidRPr="00E33D89">
                <w:rPr>
                  <w:rFonts w:ascii="仿宋" w:eastAsia="仿宋" w:hAnsi="仿宋" w:hint="eastAsia"/>
                  <w:szCs w:val="32"/>
                </w:rPr>
                <w:t>磅</w:t>
              </w:r>
            </w:smartTag>
          </w:p>
        </w:tc>
        <w:tc>
          <w:tcPr>
            <w:tcW w:w="124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smartTag w:uri="urn:schemas-microsoft-com:office:smarttags" w:element="chmetcnv">
              <w:smartTagPr>
                <w:attr w:name="UnitName" w:val="磅"/>
                <w:attr w:name="SourceValue" w:val="32"/>
                <w:attr w:name="HasSpace" w:val="False"/>
                <w:attr w:name="Negative" w:val="False"/>
                <w:attr w:name="NumberType" w:val="1"/>
                <w:attr w:name="TCSC" w:val="0"/>
              </w:smartTagPr>
              <w:r w:rsidRPr="00E33D89">
                <w:rPr>
                  <w:rFonts w:ascii="仿宋" w:eastAsia="仿宋" w:hAnsi="仿宋"/>
                  <w:szCs w:val="32"/>
                </w:rPr>
                <w:t>32</w:t>
              </w:r>
              <w:r w:rsidRPr="00E33D89">
                <w:rPr>
                  <w:rFonts w:ascii="仿宋" w:eastAsia="仿宋" w:hAnsi="仿宋" w:hint="eastAsia"/>
                  <w:szCs w:val="32"/>
                </w:rPr>
                <w:t>磅</w:t>
              </w:r>
            </w:smartTag>
          </w:p>
        </w:tc>
      </w:tr>
      <w:tr w:rsidR="00E33D89" w:rsidRPr="00E33D89" w:rsidTr="004B687E">
        <w:tc>
          <w:tcPr>
            <w:tcW w:w="88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应用</w:t>
            </w:r>
          </w:p>
        </w:tc>
        <w:tc>
          <w:tcPr>
            <w:tcW w:w="190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上下左右居中</w:t>
            </w:r>
          </w:p>
        </w:tc>
        <w:tc>
          <w:tcPr>
            <w:tcW w:w="1395"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左右居中</w:t>
            </w:r>
          </w:p>
        </w:tc>
        <w:tc>
          <w:tcPr>
            <w:tcW w:w="155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左右居中</w:t>
            </w:r>
          </w:p>
        </w:tc>
        <w:tc>
          <w:tcPr>
            <w:tcW w:w="186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左对齐或居中</w:t>
            </w:r>
          </w:p>
        </w:tc>
        <w:tc>
          <w:tcPr>
            <w:tcW w:w="1240" w:type="dxa"/>
            <w:tcBorders>
              <w:top w:val="single" w:sz="4" w:space="0" w:color="auto"/>
              <w:left w:val="single" w:sz="4" w:space="0" w:color="auto"/>
              <w:bottom w:val="single" w:sz="4" w:space="0" w:color="auto"/>
              <w:right w:val="single" w:sz="4" w:space="0" w:color="auto"/>
            </w:tcBorders>
            <w:vAlign w:val="center"/>
          </w:tcPr>
          <w:p w:rsidR="00E33D89" w:rsidRPr="00E33D89" w:rsidRDefault="00E33D89" w:rsidP="00E33D89">
            <w:pPr>
              <w:snapToGrid w:val="0"/>
              <w:spacing w:line="360" w:lineRule="auto"/>
              <w:jc w:val="center"/>
              <w:rPr>
                <w:rFonts w:ascii="仿宋" w:eastAsia="仿宋" w:hAnsi="仿宋"/>
                <w:szCs w:val="32"/>
                <w:u w:color="000000"/>
              </w:rPr>
            </w:pPr>
            <w:r w:rsidRPr="00E33D89">
              <w:rPr>
                <w:rFonts w:ascii="仿宋" w:eastAsia="仿宋" w:hAnsi="仿宋" w:hint="eastAsia"/>
                <w:szCs w:val="32"/>
              </w:rPr>
              <w:t>左右居中</w:t>
            </w:r>
          </w:p>
        </w:tc>
      </w:tr>
    </w:tbl>
    <w:p w:rsidR="00E33D89" w:rsidRPr="00E33D89" w:rsidRDefault="00E33D89" w:rsidP="00E33D89">
      <w:pPr>
        <w:spacing w:line="360" w:lineRule="auto"/>
        <w:ind w:firstLine="600"/>
        <w:rPr>
          <w:rFonts w:ascii="仿宋" w:eastAsia="仿宋" w:hAnsi="仿宋"/>
          <w:color w:val="000000"/>
          <w:szCs w:val="32"/>
          <w:u w:color="000000"/>
        </w:rPr>
      </w:pPr>
      <w:r w:rsidRPr="00E33D89">
        <w:rPr>
          <w:rFonts w:ascii="仿宋" w:eastAsia="仿宋" w:hAnsi="仿宋"/>
          <w:szCs w:val="32"/>
        </w:rPr>
        <w:t>3.</w:t>
      </w:r>
      <w:r w:rsidRPr="00E33D89">
        <w:rPr>
          <w:rFonts w:ascii="仿宋" w:eastAsia="仿宋" w:hAnsi="仿宋" w:hint="eastAsia"/>
          <w:szCs w:val="32"/>
        </w:rPr>
        <w:t>版心与版式</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每页四周留出空白，应避免内容顶到页面边缘，边界安全区域分别为左、右</w:t>
      </w:r>
      <w:r w:rsidRPr="00E33D89">
        <w:rPr>
          <w:rFonts w:ascii="仿宋" w:eastAsia="仿宋" w:hAnsi="仿宋"/>
          <w:szCs w:val="32"/>
        </w:rPr>
        <w:t>130</w:t>
      </w:r>
      <w:r w:rsidRPr="00E33D89">
        <w:rPr>
          <w:rFonts w:ascii="仿宋" w:eastAsia="仿宋" w:hAnsi="仿宋" w:hint="eastAsia"/>
          <w:szCs w:val="32"/>
        </w:rPr>
        <w:t>像素内，上、下</w:t>
      </w:r>
      <w:r w:rsidRPr="00E33D89">
        <w:rPr>
          <w:rFonts w:ascii="仿宋" w:eastAsia="仿宋" w:hAnsi="仿宋"/>
          <w:szCs w:val="32"/>
        </w:rPr>
        <w:t>90</w:t>
      </w:r>
      <w:r w:rsidRPr="00E33D89">
        <w:rPr>
          <w:rFonts w:ascii="仿宋" w:eastAsia="仿宋" w:hAnsi="仿宋" w:hint="eastAsia"/>
          <w:szCs w:val="32"/>
        </w:rPr>
        <w:t>像素内。</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szCs w:val="32"/>
        </w:rPr>
        <w:t>4.</w:t>
      </w:r>
      <w:r w:rsidRPr="00E33D89">
        <w:rPr>
          <w:rFonts w:ascii="仿宋" w:eastAsia="仿宋" w:hAnsi="仿宋" w:hint="eastAsia"/>
          <w:szCs w:val="32"/>
        </w:rPr>
        <w:t>背景</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1</w:t>
      </w:r>
      <w:r w:rsidRPr="00E33D89">
        <w:rPr>
          <w:rFonts w:ascii="仿宋" w:eastAsia="仿宋" w:hAnsi="仿宋" w:hint="eastAsia"/>
          <w:szCs w:val="32"/>
        </w:rPr>
        <w:t>）背景色以简洁适中饱和度为主（颜色保持在</w:t>
      </w:r>
      <w:proofErr w:type="gramStart"/>
      <w:r w:rsidRPr="00E33D89">
        <w:rPr>
          <w:rFonts w:ascii="仿宋" w:eastAsia="仿宋" w:hAnsi="仿宋" w:hint="eastAsia"/>
          <w:szCs w:val="32"/>
        </w:rPr>
        <w:t>一</w:t>
      </w:r>
      <w:proofErr w:type="gramEnd"/>
      <w:r w:rsidRPr="00E33D89">
        <w:rPr>
          <w:rFonts w:ascii="仿宋" w:eastAsia="仿宋" w:hAnsi="仿宋" w:hint="eastAsia"/>
          <w:szCs w:val="32"/>
        </w:rPr>
        <w:t>至两种色系内）；</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2</w:t>
      </w:r>
      <w:r w:rsidRPr="00E33D89">
        <w:rPr>
          <w:rFonts w:ascii="仿宋" w:eastAsia="仿宋" w:hAnsi="仿宋" w:hint="eastAsia"/>
          <w:szCs w:val="32"/>
        </w:rPr>
        <w:t>）背景和场景不宜变化过多；</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lastRenderedPageBreak/>
        <w:t>（</w:t>
      </w:r>
      <w:r w:rsidRPr="00E33D89">
        <w:rPr>
          <w:rFonts w:ascii="仿宋" w:eastAsia="仿宋" w:hAnsi="仿宋"/>
          <w:szCs w:val="32"/>
        </w:rPr>
        <w:t>3</w:t>
      </w:r>
      <w:r w:rsidRPr="00E33D89">
        <w:rPr>
          <w:rFonts w:ascii="仿宋" w:eastAsia="仿宋" w:hAnsi="仿宋" w:hint="eastAsia"/>
          <w:szCs w:val="32"/>
        </w:rPr>
        <w:t>）文字、图形等内容应与背景对比醒目。</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szCs w:val="32"/>
        </w:rPr>
        <w:t xml:space="preserve">5. </w:t>
      </w:r>
      <w:r w:rsidRPr="00E33D89">
        <w:rPr>
          <w:rFonts w:ascii="仿宋" w:eastAsia="仿宋" w:hAnsi="仿宋" w:hint="eastAsia"/>
          <w:szCs w:val="32"/>
        </w:rPr>
        <w:t>色调</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1</w:t>
      </w:r>
      <w:r w:rsidRPr="00E33D89">
        <w:rPr>
          <w:rFonts w:ascii="仿宋" w:eastAsia="仿宋" w:hAnsi="仿宋" w:hint="eastAsia"/>
          <w:szCs w:val="32"/>
        </w:rPr>
        <w:t>）色彩的选配应与课程科目相吻合；</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2</w:t>
      </w:r>
      <w:r w:rsidRPr="00E33D89">
        <w:rPr>
          <w:rFonts w:ascii="仿宋" w:eastAsia="仿宋" w:hAnsi="仿宋" w:hint="eastAsia"/>
          <w:szCs w:val="32"/>
        </w:rPr>
        <w:t>）每一短视频或一系列短视频在配色上应体现出系统性，可选一种主色调再加上</w:t>
      </w:r>
      <w:proofErr w:type="gramStart"/>
      <w:r w:rsidRPr="00E33D89">
        <w:rPr>
          <w:rFonts w:ascii="仿宋" w:eastAsia="仿宋" w:hAnsi="仿宋" w:hint="eastAsia"/>
          <w:szCs w:val="32"/>
        </w:rPr>
        <w:t>一</w:t>
      </w:r>
      <w:proofErr w:type="gramEnd"/>
      <w:r w:rsidRPr="00E33D89">
        <w:rPr>
          <w:rFonts w:ascii="仿宋" w:eastAsia="仿宋" w:hAnsi="仿宋" w:hint="eastAsia"/>
          <w:szCs w:val="32"/>
        </w:rPr>
        <w:t>至两种辅助色进行匹配；</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3</w:t>
      </w:r>
      <w:r w:rsidRPr="00E33D89">
        <w:rPr>
          <w:rFonts w:ascii="仿宋" w:eastAsia="仿宋" w:hAnsi="仿宋" w:hint="eastAsia"/>
          <w:szCs w:val="32"/>
        </w:rPr>
        <w:t>）同一屏</w:t>
      </w:r>
      <w:proofErr w:type="gramStart"/>
      <w:r w:rsidRPr="00E33D89">
        <w:rPr>
          <w:rFonts w:ascii="仿宋" w:eastAsia="仿宋" w:hAnsi="仿宋" w:hint="eastAsia"/>
          <w:szCs w:val="32"/>
        </w:rPr>
        <w:t>里文字</w:t>
      </w:r>
      <w:proofErr w:type="gramEnd"/>
      <w:r w:rsidRPr="00E33D89">
        <w:rPr>
          <w:rFonts w:ascii="仿宋" w:eastAsia="仿宋" w:hAnsi="仿宋" w:hint="eastAsia"/>
          <w:szCs w:val="32"/>
        </w:rPr>
        <w:t>不宜超出三种颜色。</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szCs w:val="32"/>
        </w:rPr>
        <w:t>6.</w:t>
      </w:r>
      <w:r w:rsidRPr="00E33D89">
        <w:rPr>
          <w:rFonts w:ascii="仿宋" w:eastAsia="仿宋" w:hAnsi="仿宋" w:hint="eastAsia"/>
          <w:szCs w:val="32"/>
        </w:rPr>
        <w:t>字距与行距</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1</w:t>
      </w:r>
      <w:r w:rsidRPr="00E33D89">
        <w:rPr>
          <w:rFonts w:ascii="仿宋" w:eastAsia="仿宋" w:hAnsi="仿宋" w:hint="eastAsia"/>
          <w:szCs w:val="32"/>
        </w:rPr>
        <w:t>）标题：在文字少的情形下，字距放宽一倍体现舒展性；</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2</w:t>
      </w:r>
      <w:r w:rsidRPr="00E33D89">
        <w:rPr>
          <w:rFonts w:ascii="仿宋" w:eastAsia="仿宋" w:hAnsi="仿宋" w:hint="eastAsia"/>
          <w:szCs w:val="32"/>
        </w:rPr>
        <w:t>）正文：行距使用</w:t>
      </w:r>
      <w:r w:rsidRPr="00E33D89">
        <w:rPr>
          <w:rFonts w:ascii="仿宋" w:eastAsia="仿宋" w:hAnsi="仿宋"/>
          <w:szCs w:val="32"/>
        </w:rPr>
        <w:t>1</w:t>
      </w:r>
      <w:r w:rsidRPr="00E33D89">
        <w:rPr>
          <w:rFonts w:ascii="仿宋" w:eastAsia="仿宋" w:hAnsi="仿宋" w:hint="eastAsia"/>
          <w:szCs w:val="32"/>
        </w:rPr>
        <w:t>行或</w:t>
      </w:r>
      <w:r w:rsidRPr="00E33D89">
        <w:rPr>
          <w:rFonts w:ascii="仿宋" w:eastAsia="仿宋" w:hAnsi="仿宋"/>
          <w:szCs w:val="32"/>
        </w:rPr>
        <w:t>1.5</w:t>
      </w:r>
      <w:r w:rsidRPr="00E33D89">
        <w:rPr>
          <w:rFonts w:ascii="仿宋" w:eastAsia="仿宋" w:hAnsi="仿宋" w:hint="eastAsia"/>
          <w:szCs w:val="32"/>
        </w:rPr>
        <w:t>行，便于阅读。</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szCs w:val="32"/>
        </w:rPr>
        <w:t xml:space="preserve">7. </w:t>
      </w:r>
      <w:r w:rsidRPr="00E33D89">
        <w:rPr>
          <w:rFonts w:ascii="仿宋" w:eastAsia="仿宋" w:hAnsi="仿宋" w:hint="eastAsia"/>
          <w:szCs w:val="32"/>
        </w:rPr>
        <w:t>配图</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1</w:t>
      </w:r>
      <w:r w:rsidRPr="00E33D89">
        <w:rPr>
          <w:rFonts w:ascii="仿宋" w:eastAsia="仿宋" w:hAnsi="仿宋" w:hint="eastAsia"/>
          <w:szCs w:val="32"/>
        </w:rPr>
        <w:t>）图像应清晰并能反映出内容主题思想，分辨率应上</w:t>
      </w:r>
      <w:r w:rsidRPr="00E33D89">
        <w:rPr>
          <w:rFonts w:ascii="仿宋" w:eastAsia="仿宋" w:hAnsi="仿宋"/>
          <w:szCs w:val="32"/>
        </w:rPr>
        <w:t>72dpi</w:t>
      </w:r>
      <w:r w:rsidRPr="00E33D89">
        <w:rPr>
          <w:rFonts w:ascii="仿宋" w:eastAsia="仿宋" w:hAnsi="仿宋" w:hint="eastAsia"/>
          <w:szCs w:val="32"/>
        </w:rPr>
        <w:t>以上；</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2</w:t>
      </w:r>
      <w:r w:rsidRPr="00E33D89">
        <w:rPr>
          <w:rFonts w:ascii="仿宋" w:eastAsia="仿宋" w:hAnsi="仿宋" w:hint="eastAsia"/>
          <w:szCs w:val="32"/>
        </w:rPr>
        <w:t>）图片不可加长或压窄，防止变形；</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3</w:t>
      </w:r>
      <w:r w:rsidRPr="00E33D89">
        <w:rPr>
          <w:rFonts w:ascii="仿宋" w:eastAsia="仿宋" w:hAnsi="仿宋" w:hint="eastAsia"/>
          <w:szCs w:val="32"/>
        </w:rPr>
        <w:t>）图形使用应通俗易懂，便于理解。</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szCs w:val="32"/>
        </w:rPr>
        <w:t xml:space="preserve">8. </w:t>
      </w:r>
      <w:r w:rsidRPr="00E33D89">
        <w:rPr>
          <w:rFonts w:ascii="仿宋" w:eastAsia="仿宋" w:hAnsi="仿宋" w:hint="eastAsia"/>
          <w:szCs w:val="32"/>
        </w:rPr>
        <w:t>修饰</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1</w:t>
      </w:r>
      <w:r w:rsidRPr="00E33D89">
        <w:rPr>
          <w:rFonts w:ascii="仿宋" w:eastAsia="仿宋" w:hAnsi="仿宋" w:hint="eastAsia"/>
          <w:szCs w:val="32"/>
        </w:rPr>
        <w:t>）细线条的运用比粗线条更显精致；</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2</w:t>
      </w:r>
      <w:r w:rsidRPr="00E33D89">
        <w:rPr>
          <w:rFonts w:ascii="仿宋" w:eastAsia="仿宋" w:hAnsi="仿宋" w:hint="eastAsia"/>
          <w:szCs w:val="32"/>
        </w:rPr>
        <w:t>）扁平式的装饰更接近时代审美；</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hint="eastAsia"/>
          <w:szCs w:val="32"/>
        </w:rPr>
        <w:t>（</w:t>
      </w:r>
      <w:r w:rsidRPr="00E33D89">
        <w:rPr>
          <w:rFonts w:ascii="仿宋" w:eastAsia="仿宋" w:hAnsi="仿宋"/>
          <w:szCs w:val="32"/>
        </w:rPr>
        <w:t>3</w:t>
      </w:r>
      <w:r w:rsidRPr="00E33D89">
        <w:rPr>
          <w:rFonts w:ascii="仿宋" w:eastAsia="仿宋" w:hAnsi="仿宋" w:hint="eastAsia"/>
          <w:szCs w:val="32"/>
        </w:rPr>
        <w:t>）有趣味的装饰通常更能吸引人。</w:t>
      </w:r>
    </w:p>
    <w:p w:rsidR="00E33D89" w:rsidRPr="00E33D89" w:rsidRDefault="00E33D89" w:rsidP="00E33D89">
      <w:pPr>
        <w:spacing w:line="360" w:lineRule="auto"/>
        <w:ind w:firstLine="600"/>
        <w:rPr>
          <w:rFonts w:ascii="仿宋" w:eastAsia="仿宋" w:hAnsi="仿宋"/>
          <w:szCs w:val="32"/>
        </w:rPr>
      </w:pPr>
      <w:r w:rsidRPr="00E33D89">
        <w:rPr>
          <w:rFonts w:ascii="仿宋" w:eastAsia="仿宋" w:hAnsi="仿宋"/>
          <w:szCs w:val="32"/>
        </w:rPr>
        <w:t xml:space="preserve">9. </w:t>
      </w:r>
      <w:r w:rsidRPr="00E33D89">
        <w:rPr>
          <w:rFonts w:ascii="仿宋" w:eastAsia="仿宋" w:hAnsi="仿宋" w:hint="eastAsia"/>
          <w:szCs w:val="32"/>
        </w:rPr>
        <w:t>版权来源</w:t>
      </w:r>
    </w:p>
    <w:p w:rsidR="00E33D89" w:rsidRDefault="00E33D89" w:rsidP="00E33D89">
      <w:pPr>
        <w:spacing w:line="360" w:lineRule="auto"/>
        <w:ind w:firstLine="600"/>
        <w:rPr>
          <w:rFonts w:ascii="仿宋_GB2312" w:hAnsi="华文仿宋"/>
        </w:rPr>
      </w:pPr>
      <w:r w:rsidRPr="00E33D89">
        <w:rPr>
          <w:rFonts w:ascii="仿宋" w:eastAsia="仿宋" w:hAnsi="仿宋" w:hint="eastAsia"/>
          <w:szCs w:val="32"/>
        </w:rPr>
        <w:t>素材选用注意版权，涉及版权问题</w:t>
      </w:r>
      <w:proofErr w:type="gramStart"/>
      <w:r w:rsidRPr="00E33D89">
        <w:rPr>
          <w:rFonts w:ascii="仿宋" w:eastAsia="仿宋" w:hAnsi="仿宋" w:hint="eastAsia"/>
          <w:szCs w:val="32"/>
        </w:rPr>
        <w:t>须加入</w:t>
      </w:r>
      <w:proofErr w:type="gramEnd"/>
      <w:r w:rsidRPr="00E33D89">
        <w:rPr>
          <w:rFonts w:ascii="仿宋" w:eastAsia="仿宋" w:hAnsi="仿宋" w:hint="eastAsia"/>
          <w:szCs w:val="32"/>
        </w:rPr>
        <w:t>“版权来源”信息。</w:t>
      </w:r>
    </w:p>
    <w:p w:rsidR="00100BA7" w:rsidRPr="00E33D89" w:rsidRDefault="00100BA7"/>
    <w:sectPr w:rsidR="00100BA7" w:rsidRPr="00E33D89" w:rsidSect="00100B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D89"/>
    <w:rsid w:val="00100BA7"/>
    <w:rsid w:val="007A3D01"/>
    <w:rsid w:val="00C4400C"/>
    <w:rsid w:val="00E33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14:docId w14:val="115DB2D5"/>
  <w15:docId w15:val="{A9D3D2BB-2F47-4AEA-B059-ACD37AC88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D8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536</Words>
  <Characters>3059</Characters>
  <Application>Microsoft Office Word</Application>
  <DocSecurity>0</DocSecurity>
  <Lines>25</Lines>
  <Paragraphs>7</Paragraphs>
  <ScaleCrop>false</ScaleCrop>
  <Company>China</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dcterms:created xsi:type="dcterms:W3CDTF">2018-03-04T08:28:00Z</dcterms:created>
  <dcterms:modified xsi:type="dcterms:W3CDTF">2018-03-04T08:28:00Z</dcterms:modified>
</cp:coreProperties>
</file>