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sz w:val="52"/>
          <w:szCs w:val="52"/>
        </w:rPr>
      </w:pPr>
    </w:p>
    <w:p>
      <w:pPr>
        <w:pStyle w:val="style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</w:t>
      </w:r>
      <w:r>
        <w:rPr>
          <w:rFonts w:hint="eastAsia"/>
          <w:b/>
          <w:sz w:val="48"/>
          <w:szCs w:val="48"/>
        </w:rPr>
        <w:t>2018</w:t>
      </w:r>
      <w:r>
        <w:rPr>
          <w:rFonts w:hint="eastAsia"/>
          <w:b/>
          <w:sz w:val="48"/>
          <w:szCs w:val="48"/>
        </w:rPr>
        <w:t>年</w:t>
      </w:r>
    </w:p>
    <w:p>
      <w:pPr>
        <w:pStyle w:val="style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教职工男子篮球比赛</w:t>
      </w:r>
    </w:p>
    <w:p>
      <w:pPr>
        <w:pStyle w:val="style0"/>
        <w:jc w:val="center"/>
        <w:rPr>
          <w:rFonts w:ascii="华文行楷" w:eastAsia="华文行楷"/>
          <w:sz w:val="110"/>
          <w:szCs w:val="110"/>
        </w:rPr>
      </w:pPr>
    </w:p>
    <w:p>
      <w:pPr>
        <w:pStyle w:val="style0"/>
        <w:spacing w:lineRule="exact" w:line="1600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秩</w:t>
      </w:r>
    </w:p>
    <w:p>
      <w:pPr>
        <w:pStyle w:val="style0"/>
        <w:spacing w:lineRule="exact" w:line="1600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>
      <w:pPr>
        <w:pStyle w:val="style0"/>
        <w:spacing w:lineRule="exact" w:line="1600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册</w:t>
      </w:r>
    </w:p>
    <w:p>
      <w:pPr>
        <w:pStyle w:val="style0"/>
        <w:rPr>
          <w:rFonts w:ascii="黑体" w:eastAsia="黑体"/>
          <w:sz w:val="30"/>
          <w:szCs w:val="30"/>
        </w:rPr>
      </w:pPr>
    </w:p>
    <w:p>
      <w:pPr>
        <w:pStyle w:val="style0"/>
        <w:rPr>
          <w:rFonts w:ascii="黑体" w:eastAsia="黑体"/>
          <w:sz w:val="30"/>
          <w:szCs w:val="30"/>
        </w:rPr>
      </w:pPr>
    </w:p>
    <w:p>
      <w:pPr>
        <w:pStyle w:val="style0"/>
        <w:jc w:val="center"/>
        <w:rPr>
          <w:rFonts w:ascii="黑体" w:eastAsia="黑体"/>
          <w:sz w:val="30"/>
          <w:szCs w:val="30"/>
        </w:rPr>
      </w:pPr>
    </w:p>
    <w:p>
      <w:pPr>
        <w:pStyle w:val="style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主办：华北水利水电大学工会</w:t>
      </w:r>
    </w:p>
    <w:p>
      <w:pPr>
        <w:pStyle w:val="style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</w:t>
      </w:r>
      <w:r>
        <w:rPr>
          <w:rFonts w:ascii="黑体" w:eastAsia="黑体" w:hint="eastAsia"/>
          <w:sz w:val="30"/>
          <w:szCs w:val="30"/>
        </w:rPr>
        <w:t>承办：华北水利水电大学体育教学部</w:t>
      </w:r>
    </w:p>
    <w:p>
      <w:pPr>
        <w:pStyle w:val="style0"/>
        <w:rPr>
          <w:rFonts w:ascii="黑体" w:eastAsia="黑体"/>
          <w:sz w:val="30"/>
          <w:szCs w:val="30"/>
        </w:rPr>
      </w:pPr>
    </w:p>
    <w:p>
      <w:pPr>
        <w:pStyle w:val="style0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>二O</w:t>
      </w:r>
      <w:r>
        <w:rPr>
          <w:rFonts w:ascii="黑体" w:eastAsia="黑体" w:hint="eastAsia"/>
          <w:sz w:val="30"/>
          <w:szCs w:val="30"/>
        </w:rPr>
        <w:t>一八年四</w:t>
      </w:r>
      <w:r>
        <w:rPr>
          <w:rFonts w:ascii="黑体" w:eastAsia="黑体" w:hint="eastAsia"/>
          <w:sz w:val="30"/>
          <w:szCs w:val="30"/>
        </w:rPr>
        <w:t>月</w:t>
      </w:r>
    </w:p>
    <w:p>
      <w:pPr>
        <w:pStyle w:val="style0"/>
        <w:jc w:val="center"/>
        <w:rPr>
          <w:rFonts w:ascii="黑体" w:eastAsia="黑体"/>
          <w:sz w:val="30"/>
          <w:szCs w:val="30"/>
        </w:rPr>
      </w:pPr>
    </w:p>
    <w:p>
      <w:pPr>
        <w:pStyle w:val="style0"/>
        <w:jc w:val="left"/>
        <w:rPr>
          <w:rFonts w:ascii="黑体" w:eastAsia="黑体"/>
          <w:sz w:val="30"/>
          <w:szCs w:val="30"/>
        </w:rPr>
      </w:pPr>
    </w:p>
    <w:p>
      <w:pPr>
        <w:pStyle w:val="style179"/>
        <w:numPr>
          <w:ilvl w:val="0"/>
          <w:numId w:val="1"/>
        </w:numPr>
        <w:spacing w:lineRule="exact" w:line="520"/>
        <w:ind w:firstLineChars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比赛时间</w:t>
      </w:r>
    </w:p>
    <w:p>
      <w:pPr>
        <w:pStyle w:val="style179"/>
        <w:spacing w:lineRule="exact" w:line="520"/>
        <w:ind w:left="720" w:firstLine="0"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2018</w:t>
      </w:r>
      <w:r>
        <w:rPr>
          <w:rFonts w:hint="eastAsia" w:asciiTheme="minorEastAsia" w:eastAsiaTheme="minorEastAsia" w:hAnsiTheme="minorEastAsia"/>
          <w:sz w:val="28"/>
          <w:szCs w:val="28"/>
        </w:rPr>
        <w:t>年</w:t>
      </w:r>
      <w:r>
        <w:rPr>
          <w:rFonts w:hint="eastAsia" w:asciiTheme="minorEastAsia" w:eastAsiaTheme="minorEastAsia" w:hAnsiTheme="minorEastAsia"/>
          <w:sz w:val="28"/>
          <w:szCs w:val="28"/>
        </w:rPr>
        <w:t>4</w:t>
      </w:r>
      <w:r>
        <w:rPr>
          <w:rFonts w:hint="eastAsia" w:asciiTheme="minorEastAsia" w:eastAsiaTheme="minorEastAsia" w:hAnsiTheme="minorEastAsia"/>
          <w:sz w:val="28"/>
          <w:szCs w:val="28"/>
        </w:rPr>
        <w:t>月</w:t>
      </w:r>
      <w:r>
        <w:rPr>
          <w:rFonts w:hint="eastAsia" w:asciiTheme="minorEastAsia" w:eastAsiaTheme="minorEastAsia" w:hAnsiTheme="minorEastAsia"/>
          <w:sz w:val="28"/>
          <w:szCs w:val="28"/>
        </w:rPr>
        <w:t>23</w:t>
      </w:r>
      <w:r>
        <w:rPr>
          <w:rFonts w:hint="eastAsia" w:asciiTheme="minorEastAsia" w:eastAsiaTheme="minorEastAsia" w:hAnsiTheme="minorEastAsia"/>
          <w:sz w:val="28"/>
          <w:szCs w:val="28"/>
        </w:rPr>
        <w:t>日</w:t>
      </w:r>
      <w:r>
        <w:rPr>
          <w:rFonts w:hint="eastAsia" w:asciiTheme="minorEastAsia" w:eastAsiaTheme="minorEastAsia" w:hAnsiTheme="minorEastAsia"/>
          <w:sz w:val="28"/>
          <w:szCs w:val="28"/>
        </w:rPr>
        <w:t>—4月28日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二、分组结果</w:t>
      </w:r>
    </w:p>
    <w:p>
      <w:pPr>
        <w:pStyle w:val="style0"/>
        <w:spacing w:lineRule="exact" w:line="520"/>
        <w:ind w:firstLine="562" w:firstLineChars="2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b/>
          <w:sz w:val="28"/>
          <w:szCs w:val="28"/>
        </w:rPr>
        <w:t>A组：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1. </w:t>
      </w:r>
      <w:r>
        <w:rPr>
          <w:rFonts w:hint="eastAsia" w:asciiTheme="minorEastAsia" w:eastAsiaTheme="minorEastAsia" w:hAnsiTheme="minorEastAsia"/>
          <w:sz w:val="28"/>
          <w:szCs w:val="28"/>
        </w:rPr>
        <w:t>资环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 2. </w:t>
      </w:r>
      <w:r>
        <w:rPr>
          <w:rFonts w:hint="eastAsia" w:asciiTheme="minorEastAsia" w:eastAsiaTheme="minorEastAsia" w:hAnsiTheme="minorEastAsia"/>
          <w:sz w:val="28"/>
          <w:szCs w:val="28"/>
        </w:rPr>
        <w:t>国教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3.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信工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4. </w:t>
      </w:r>
      <w:r>
        <w:rPr>
          <w:rFonts w:hint="eastAsia" w:asciiTheme="minorEastAsia" w:eastAsiaTheme="minorEastAsia" w:hAnsiTheme="minorEastAsia"/>
          <w:sz w:val="28"/>
          <w:szCs w:val="28"/>
        </w:rPr>
        <w:t>外语</w:t>
      </w:r>
    </w:p>
    <w:p>
      <w:pPr>
        <w:pStyle w:val="style0"/>
        <w:spacing w:lineRule="exact" w:line="520"/>
        <w:ind w:firstLine="562" w:firstLineChars="2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b/>
          <w:sz w:val="28"/>
          <w:szCs w:val="28"/>
        </w:rPr>
        <w:t>B组：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1.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总后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2. </w:t>
      </w:r>
      <w:r>
        <w:rPr>
          <w:rFonts w:hint="eastAsia" w:asciiTheme="minorEastAsia" w:eastAsiaTheme="minorEastAsia" w:hAnsiTheme="minorEastAsia"/>
          <w:sz w:val="28"/>
          <w:szCs w:val="28"/>
        </w:rPr>
        <w:t>软件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 3.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土木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4. </w:t>
      </w:r>
      <w:r>
        <w:rPr>
          <w:rFonts w:hint="eastAsia" w:asciiTheme="minorEastAsia" w:eastAsiaTheme="minorEastAsia" w:hAnsiTheme="minorEastAsia"/>
          <w:sz w:val="28"/>
          <w:szCs w:val="28"/>
        </w:rPr>
        <w:t>建艺</w:t>
      </w:r>
    </w:p>
    <w:p>
      <w:pPr>
        <w:pStyle w:val="style0"/>
        <w:spacing w:lineRule="exact" w:line="520"/>
        <w:ind w:firstLine="562" w:firstLineChars="2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b/>
          <w:sz w:val="28"/>
          <w:szCs w:val="28"/>
        </w:rPr>
        <w:t>C组：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1. </w:t>
      </w:r>
      <w:r>
        <w:rPr>
          <w:rFonts w:hint="eastAsia" w:asciiTheme="minorEastAsia" w:eastAsiaTheme="minorEastAsia" w:hAnsiTheme="minorEastAsia"/>
          <w:sz w:val="28"/>
          <w:szCs w:val="28"/>
        </w:rPr>
        <w:t>机关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 2.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数统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3.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管经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4. </w:t>
      </w:r>
      <w:r>
        <w:rPr>
          <w:rFonts w:hint="eastAsia" w:asciiTheme="minorEastAsia" w:eastAsiaTheme="minorEastAsia" w:hAnsiTheme="minorEastAsia"/>
          <w:sz w:val="28"/>
          <w:szCs w:val="28"/>
        </w:rPr>
        <w:t>机械</w:t>
      </w:r>
    </w:p>
    <w:p>
      <w:pPr>
        <w:pStyle w:val="style0"/>
        <w:spacing w:lineRule="exact" w:line="520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b/>
          <w:sz w:val="28"/>
          <w:szCs w:val="28"/>
        </w:rPr>
        <w:t>D</w:t>
      </w:r>
      <w:r>
        <w:rPr>
          <w:rFonts w:hint="eastAsia" w:asciiTheme="minorEastAsia" w:eastAsiaTheme="minorEastAsia" w:hAnsiTheme="minorEastAsia"/>
          <w:b/>
          <w:sz w:val="28"/>
          <w:szCs w:val="28"/>
        </w:rPr>
        <w:t>组：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1. </w:t>
      </w:r>
      <w:r>
        <w:rPr>
          <w:rFonts w:hint="eastAsia" w:asciiTheme="minorEastAsia" w:eastAsiaTheme="minorEastAsia" w:hAnsiTheme="minorEastAsia"/>
          <w:sz w:val="28"/>
          <w:szCs w:val="28"/>
        </w:rPr>
        <w:t>水利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 2. </w:t>
      </w:r>
      <w:r>
        <w:rPr>
          <w:rFonts w:hint="eastAsia" w:asciiTheme="minorEastAsia" w:eastAsiaTheme="minorEastAsia" w:hAnsiTheme="minorEastAsia"/>
          <w:sz w:val="28"/>
          <w:szCs w:val="28"/>
        </w:rPr>
        <w:t>马院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   3. </w:t>
      </w:r>
      <w:bookmarkStart w:id="0" w:name="_GoBack"/>
      <w:bookmarkEnd w:id="0"/>
      <w:r>
        <w:rPr>
          <w:rFonts w:hint="eastAsia" w:asciiTheme="minorEastAsia" w:eastAsiaTheme="minorEastAsia" w:hAnsiTheme="minorEastAsia"/>
          <w:sz w:val="28"/>
          <w:szCs w:val="28"/>
        </w:rPr>
        <w:t xml:space="preserve">电力   </w:t>
      </w:r>
      <w:r>
        <w:rPr>
          <w:rFonts w:hint="eastAsia" w:asciiTheme="minorEastAsia" w:eastAsiaTheme="minorEastAsia" w:hAnsiTheme="minorEastAsia"/>
          <w:sz w:val="28"/>
          <w:szCs w:val="28"/>
        </w:rPr>
        <w:t xml:space="preserve">4. </w:t>
      </w:r>
      <w:r>
        <w:rPr>
          <w:rFonts w:hint="eastAsia" w:asciiTheme="minorEastAsia" w:eastAsiaTheme="minorEastAsia" w:hAnsiTheme="minorEastAsia"/>
          <w:sz w:val="28"/>
          <w:szCs w:val="28"/>
        </w:rPr>
        <w:t>环工</w:t>
      </w:r>
    </w:p>
    <w:p>
      <w:pPr>
        <w:pStyle w:val="style0"/>
        <w:spacing w:lineRule="exact" w:line="5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三、比赛办法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1、时间：每节比赛10分钟，一二节、三四节休息一分钟，中场休息5分钟。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2、第四节最后两分钟和决胜期两分钟净时间，其他时间毛时间。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3、暂停：上半场2次，下半场2次。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4、犯规：按国际篮联规则执行。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5、换人：请到记录台请求换人。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6、球队席；主队（秩序表前面的队）坐在记录台左侧攻右侧2，客队坐右攻左。</w:t>
      </w:r>
    </w:p>
    <w:p>
      <w:pPr>
        <w:pStyle w:val="style0"/>
        <w:spacing w:lineRule="exact" w:line="50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7、赛服：主队浅色、客队深色。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</w:t>
      </w:r>
      <w:r>
        <w:rPr>
          <w:rFonts w:ascii="黑体" w:eastAsia="黑体" w:hint="eastAsia"/>
          <w:sz w:val="28"/>
          <w:szCs w:val="28"/>
        </w:rPr>
        <w:t>、场地安排：</w:t>
      </w:r>
    </w:p>
    <w:p>
      <w:pPr>
        <w:pStyle w:val="style0"/>
        <w:spacing w:lineRule="exact" w:line="52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比赛场地安排在新校区西区篮球场。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</w:t>
      </w:r>
      <w:r>
        <w:rPr>
          <w:rFonts w:ascii="黑体" w:eastAsia="黑体" w:hint="eastAsia"/>
          <w:sz w:val="28"/>
          <w:szCs w:val="28"/>
        </w:rPr>
        <w:t>、裁判长</w:t>
      </w:r>
    </w:p>
    <w:p>
      <w:pPr>
        <w:pStyle w:val="style0"/>
        <w:spacing w:lineRule="exact" w:line="520"/>
        <w:ind w:firstLine="560" w:firstLineChars="200"/>
        <w:rPr>
          <w:rFonts w:hint="eastAsia"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于洋</w:t>
      </w:r>
    </w:p>
    <w:p>
      <w:pPr>
        <w:pStyle w:val="style0"/>
        <w:spacing w:lineRule="exact" w:line="520"/>
        <w:rPr>
          <w:rFonts w:hint="eastAsia"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六</w:t>
      </w:r>
      <w:r>
        <w:rPr>
          <w:rFonts w:hint="eastAsia" w:asciiTheme="minorEastAsia" w:eastAsiaTheme="minorEastAsia" w:hAnsiTheme="minorEastAsia"/>
          <w:sz w:val="28"/>
          <w:szCs w:val="28"/>
        </w:rPr>
        <w:t>、</w:t>
      </w:r>
      <w:r>
        <w:rPr>
          <w:rFonts w:hint="eastAsia" w:asciiTheme="minorEastAsia" w:eastAsiaTheme="minorEastAsia" w:hAnsiTheme="minorEastAsia"/>
          <w:sz w:val="28"/>
          <w:szCs w:val="28"/>
        </w:rPr>
        <w:t>录取名次与奖励</w:t>
      </w:r>
    </w:p>
    <w:p>
      <w:pPr>
        <w:pStyle w:val="style0"/>
        <w:spacing w:lineRule="exact" w:line="520"/>
        <w:ind w:firstLineChars="2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本次比赛</w:t>
      </w:r>
      <w:r>
        <w:rPr>
          <w:rFonts w:hint="eastAsia" w:asciiTheme="minorEastAsia" w:eastAsiaTheme="minorEastAsia" w:hAnsiTheme="minorEastAsia"/>
          <w:sz w:val="28"/>
          <w:szCs w:val="28"/>
        </w:rPr>
        <w:t>取</w:t>
      </w:r>
      <w:r>
        <w:rPr>
          <w:rFonts w:hint="eastAsia" w:asciiTheme="minorEastAsia" w:eastAsiaTheme="minorEastAsia" w:hAnsiTheme="minorEastAsia"/>
          <w:sz w:val="28"/>
          <w:szCs w:val="28"/>
        </w:rPr>
        <w:t>前八名</w:t>
      </w:r>
      <w:r>
        <w:rPr>
          <w:rFonts w:hint="eastAsia" w:asciiTheme="minorEastAsia" w:eastAsiaTheme="minorEastAsia" w:hAnsiTheme="minorEastAsia"/>
          <w:sz w:val="28"/>
          <w:szCs w:val="28"/>
        </w:rPr>
        <w:t>获奖。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>
        <w:rPr>
          <w:rFonts w:ascii="黑体" w:eastAsia="黑体" w:hint="eastAsia"/>
          <w:sz w:val="28"/>
          <w:szCs w:val="28"/>
        </w:rPr>
        <w:t>、注意事项：</w:t>
      </w:r>
    </w:p>
    <w:p>
      <w:pPr>
        <w:pStyle w:val="style0"/>
        <w:spacing w:lineRule="exact" w:line="440"/>
        <w:ind w:firstLine="560" w:firstLineChars="200"/>
        <w:rPr>
          <w:rFonts w:cs="宋体" w:asciiTheme="minorEastAsia" w:eastAsiaTheme="minorEastAsia" w:hAnsiTheme="minorEastAsia"/>
          <w:sz w:val="28"/>
          <w:szCs w:val="28"/>
        </w:rPr>
      </w:pPr>
      <w:r>
        <w:rPr>
          <w:rFonts w:cs="宋体" w:hint="eastAsia" w:asciiTheme="minorEastAsia" w:eastAsiaTheme="minorEastAsia" w:hAnsiTheme="minorEastAsia"/>
          <w:sz w:val="28"/>
          <w:szCs w:val="28"/>
        </w:rPr>
        <w:t>1、参赛队应提前20</w:t>
      </w:r>
      <w:r>
        <w:rPr>
          <w:rFonts w:cs="宋体" w:hint="eastAsia" w:asciiTheme="minorEastAsia" w:eastAsiaTheme="minorEastAsia" w:hAnsiTheme="minorEastAsia"/>
          <w:sz w:val="28"/>
          <w:szCs w:val="28"/>
        </w:rPr>
        <w:t>分钟到场热身，超过比赛时间十五</w:t>
      </w:r>
      <w:r>
        <w:rPr>
          <w:rFonts w:cs="宋体" w:hint="eastAsia" w:asciiTheme="minorEastAsia" w:eastAsiaTheme="minorEastAsia" w:hAnsiTheme="minorEastAsia"/>
          <w:sz w:val="28"/>
          <w:szCs w:val="28"/>
        </w:rPr>
        <w:t>分钟未到者视为弃权。</w:t>
      </w:r>
    </w:p>
    <w:p>
      <w:pPr>
        <w:pStyle w:val="style0"/>
        <w:spacing w:lineRule="exact" w:line="520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2、尊重对手，服从裁判。比赛过程中如有异议，须由领队或教练向裁判长提出申诉。</w:t>
      </w:r>
    </w:p>
    <w:p>
      <w:pPr>
        <w:pStyle w:val="style0"/>
        <w:spacing w:lineRule="exact" w:line="520"/>
        <w:ind w:firstLine="560" w:firstLineChars="20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 w:asciiTheme="minorEastAsia" w:eastAsiaTheme="minorEastAsia" w:hAnsiTheme="minorEastAsia"/>
          <w:sz w:val="28"/>
          <w:szCs w:val="28"/>
        </w:rPr>
        <w:t>3、学校教职工参加了工伤保险，如比赛中发生意外伤害，请保留</w:t>
      </w:r>
      <w:r>
        <w:rPr>
          <w:rFonts w:hint="eastAsia" w:asciiTheme="minorEastAsia" w:eastAsiaTheme="minorEastAsia" w:hAnsiTheme="minorEastAsia"/>
          <w:sz w:val="28"/>
          <w:szCs w:val="28"/>
        </w:rPr>
        <w:t>证据（受伤照片、医院诊断材料等）及时上报人事处劳资科。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</w:t>
      </w:r>
      <w:r>
        <w:rPr>
          <w:rFonts w:ascii="黑体" w:eastAsia="黑体" w:hint="eastAsia"/>
          <w:sz w:val="28"/>
          <w:szCs w:val="28"/>
        </w:rPr>
        <w:t>、遇风雨天气无法比赛的场次，比赛顺延。</w:t>
      </w:r>
    </w:p>
    <w:p>
      <w:pPr>
        <w:pStyle w:val="style0"/>
        <w:spacing w:lineRule="exact" w:line="5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</w:t>
      </w:r>
      <w:r>
        <w:rPr>
          <w:rFonts w:ascii="黑体" w:eastAsia="黑体" w:hint="eastAsia"/>
          <w:sz w:val="28"/>
          <w:szCs w:val="28"/>
        </w:rPr>
        <w:t>、比赛日程表</w:t>
      </w:r>
    </w:p>
    <w:p>
      <w:pPr>
        <w:pStyle w:val="style0"/>
        <w:spacing w:lineRule="exact" w:line="380"/>
        <w:rPr>
          <w:b/>
          <w:sz w:val="36"/>
        </w:rPr>
      </w:pPr>
    </w:p>
    <w:tbl>
      <w:tblPr>
        <w:tblpPr w:leftFromText="180" w:rightFromText="180" w:topFromText="0" w:bottomFromText="0" w:vertAnchor="text" w:tblpX="-252" w:tblpY="1"/>
        <w:tblOverlap w:val="never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988"/>
        <w:gridCol w:w="823"/>
        <w:gridCol w:w="869"/>
        <w:gridCol w:w="3234"/>
        <w:gridCol w:w="1296"/>
      </w:tblGrid>
      <w:tr>
        <w:trPr>
          <w:trHeight w:val="23" w:hRule="atLeast"/>
        </w:trPr>
        <w:tc>
          <w:tcPr>
            <w:tcW w:w="1317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color w:val="000000"/>
                <w:sz w:val="28"/>
                <w:szCs w:val="28"/>
              </w:rPr>
              <w:t>4</w:t>
            </w:r>
            <w:r>
              <w:rPr>
                <w:rFonts w:hint="eastAsia" w:asciiTheme="minorEastAsia" w:eastAsiaTheme="minorEastAsia" w:hAnsiTheme="minor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eastAsiaTheme="minorEastAsia" w:hAnsiTheme="minorEastAsia"/>
                <w:color w:val="000000"/>
                <w:sz w:val="28"/>
                <w:szCs w:val="28"/>
              </w:rPr>
              <w:t>23</w:t>
            </w:r>
            <w:r>
              <w:rPr>
                <w:rFonts w:hint="eastAsia" w:asciiTheme="minorEastAsia" w:eastAsiaTheme="minorEastAsia" w:hAnsiTheme="minorEastAsia"/>
                <w:color w:val="000000"/>
                <w:sz w:val="28"/>
                <w:szCs w:val="28"/>
              </w:rPr>
              <w:t>日</w:t>
            </w:r>
          </w:p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color w:val="000000"/>
                <w:sz w:val="28"/>
                <w:szCs w:val="28"/>
              </w:rPr>
              <w:t>周一</w:t>
            </w:r>
          </w:p>
          <w:p>
            <w:pPr>
              <w:pStyle w:val="style0"/>
              <w:spacing w:lineRule="auto" w:line="648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组别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场序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浅色   赛队   深色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ind w:left="870" w:hanging="870" w:hangingChars="29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场地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资环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外语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信工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国教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总后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建艺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土木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软件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机关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机械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管经——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数统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水利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环工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电力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马院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4月</w:t>
            </w: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24</w:t>
            </w: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日</w:t>
            </w:r>
          </w:p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周二</w:t>
            </w: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9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资环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信工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外语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国教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总后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土木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建艺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软件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13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机关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管经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机械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数统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水利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电力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环工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马院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4月</w:t>
            </w: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25</w:t>
            </w: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日</w:t>
            </w:r>
          </w:p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eastAsiaTheme="minorEastAsia" w:hAnsiTheme="minorEastAsia"/>
                <w:sz w:val="28"/>
                <w:szCs w:val="28"/>
              </w:rPr>
              <w:t>周三</w:t>
            </w: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资环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国教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外语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信工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总后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软件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建艺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土木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机关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数统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C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机械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管经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水利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马院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23" w:hRule="atLeast"/>
        </w:trPr>
        <w:tc>
          <w:tcPr>
            <w:tcW w:w="13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823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D</w:t>
            </w:r>
          </w:p>
        </w:tc>
        <w:tc>
          <w:tcPr>
            <w:tcW w:w="869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3234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宋体" w:cs="宋体" w:hAnsi="宋体"/>
                <w:bCs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sz w:val="24"/>
                <w:szCs w:val="24"/>
              </w:rPr>
              <w:t>环工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——</w:t>
            </w:r>
            <w:r>
              <w:rPr>
                <w:rFonts w:ascii="宋体" w:cs="宋体" w:hAnsi="宋体" w:hint="eastAsia"/>
                <w:bCs/>
                <w:sz w:val="24"/>
                <w:szCs w:val="24"/>
              </w:rPr>
              <w:t>电力</w:t>
            </w:r>
          </w:p>
        </w:tc>
        <w:tc>
          <w:tcPr>
            <w:tcW w:w="1296" w:type="dxa"/>
            <w:tcBorders/>
            <w:tcFitText w:val="false"/>
            <w:vAlign w:val="center"/>
          </w:tcPr>
          <w:p>
            <w:pPr>
              <w:pStyle w:val="style0"/>
              <w:spacing w:lineRule="auto" w:line="6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</w:tbl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rPr>
          <w:b/>
          <w:sz w:val="36"/>
        </w:rPr>
      </w:pPr>
    </w:p>
    <w:p>
      <w:pPr>
        <w:pStyle w:val="style0"/>
        <w:spacing w:lineRule="exact" w:line="38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2018</w:t>
      </w:r>
      <w:r>
        <w:rPr>
          <w:rFonts w:ascii="黑体" w:eastAsia="黑体" w:hAnsi="黑体" w:hint="eastAsia"/>
          <w:sz w:val="36"/>
        </w:rPr>
        <w:t>年教工男篮赛程表（第二阶段）</w:t>
      </w:r>
    </w:p>
    <w:p>
      <w:pPr>
        <w:pStyle w:val="style0"/>
        <w:spacing w:lineRule="exact" w:line="380"/>
        <w:jc w:val="center"/>
        <w:rPr>
          <w:b/>
          <w:sz w:val="36"/>
        </w:rPr>
      </w:pPr>
    </w:p>
    <w:tbl>
      <w:tblPr>
        <w:tblpPr w:leftFromText="180" w:rightFromText="180" w:topFromText="0" w:bottomFromText="0" w:vertAnchor="text" w:tblpX="-252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900"/>
        <w:gridCol w:w="4270"/>
        <w:gridCol w:w="1632"/>
      </w:tblGrid>
      <w:tr>
        <w:trPr>
          <w:trHeight w:val="380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日期</w:t>
            </w: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场序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浅色   赛队   深色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ind w:left="870" w:hanging="870" w:hangingChars="29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场地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26</w:t>
            </w: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日</w:t>
            </w:r>
          </w:p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周四</w:t>
            </w:r>
          </w:p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A1----B2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A2----B1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C1----D2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C2----D1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4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27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日</w:t>
            </w:r>
          </w:p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周五</w:t>
            </w: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25负----26负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27负----28负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25胜----26胜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27胜----28胜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4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28</w:t>
            </w:r>
            <w:r>
              <w:rPr>
                <w:rFonts w:hint="eastAsia" w:asciiTheme="minorEastAsia" w:eastAsiaTheme="minorEastAsia" w:hAnsiTheme="minorEastAsia"/>
                <w:bCs/>
                <w:sz w:val="24"/>
                <w:szCs w:val="24"/>
              </w:rPr>
              <w:t>日</w:t>
            </w:r>
          </w:p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周</w:t>
            </w: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六</w:t>
            </w: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33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29负-----30负 (七、八名)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34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29胜</w:t>
            </w:r>
            <w:r>
              <w:rPr>
                <w:rFonts w:ascii="宋体" w:cs="宋体" w:hAnsi="宋体" w:hint="eastAsia"/>
                <w:sz w:val="24"/>
              </w:rPr>
              <w:t>---</w:t>
            </w:r>
            <w:r>
              <w:rPr>
                <w:rFonts w:ascii="宋体" w:cs="宋体" w:hAnsi="宋体" w:hint="eastAsia"/>
                <w:sz w:val="24"/>
              </w:rPr>
              <w:t>--30胜（五、六名）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31负-----32负（三、四名）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>
        <w:tblPrEx/>
        <w:trPr>
          <w:cantSplit/>
          <w:trHeight w:val="380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</w:rPr>
              <w:t>18</w:t>
            </w:r>
            <w:r>
              <w:rPr>
                <w:rFonts w:hint="eastAsia" w:asciiTheme="minorEastAsia" w:eastAsiaTheme="minorEastAsia" w:hAnsiTheme="minorEastAsia"/>
                <w:sz w:val="24"/>
              </w:rPr>
              <w:t>:</w:t>
            </w:r>
            <w:r>
              <w:rPr>
                <w:rFonts w:hint="eastAsia"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eastAsiaTheme="minorEastAsia" w:hAnsiTheme="minorEastAsia"/>
                <w:sz w:val="24"/>
                <w:szCs w:val="24"/>
              </w:rPr>
              <w:t>36</w:t>
            </w:r>
          </w:p>
        </w:tc>
        <w:tc>
          <w:tcPr>
            <w:tcW w:w="4270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31胜-----32胜（一、二名）</w:t>
            </w:r>
          </w:p>
        </w:tc>
        <w:tc>
          <w:tcPr>
            <w:tcW w:w="1632" w:type="dxa"/>
            <w:tcBorders/>
            <w:tcFitText w:val="false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>
      <w:pPr>
        <w:pStyle w:val="style0"/>
        <w:rPr/>
      </w:pPr>
    </w:p>
    <w:p>
      <w:pPr>
        <w:pStyle w:val="style0"/>
        <w:spacing w:lineRule="exact" w:line="360"/>
        <w:ind w:firstLine="6150" w:firstLineChars="2050"/>
        <w:rPr>
          <w:rFonts w:hint="eastAsia"/>
          <w:sz w:val="30"/>
          <w:szCs w:val="30"/>
        </w:rPr>
      </w:pPr>
    </w:p>
    <w:p>
      <w:pPr>
        <w:pStyle w:val="style0"/>
        <w:spacing w:lineRule="exact" w:line="360"/>
        <w:ind w:firstLine="6150" w:firstLineChars="2050"/>
        <w:rPr>
          <w:rFonts w:hint="eastAsia"/>
          <w:sz w:val="30"/>
          <w:szCs w:val="30"/>
        </w:rPr>
      </w:pPr>
    </w:p>
    <w:p>
      <w:pPr>
        <w:pStyle w:val="style0"/>
        <w:spacing w:lineRule="exact" w:line="360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>
      <w:pPr>
        <w:pStyle w:val="style0"/>
        <w:spacing w:lineRule="exact" w:line="36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2018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</w:p>
    <w:p>
      <w:pPr>
        <w:pStyle w:val="style0"/>
        <w:spacing w:lineRule="exact" w:line="360"/>
        <w:ind w:firstLine="5700" w:firstLineChars="1900"/>
        <w:rPr>
          <w:sz w:val="30"/>
          <w:szCs w:val="30"/>
        </w:rPr>
      </w:pPr>
    </w:p>
    <w:sectPr>
      <w:pgSz w:w="11906" w:h="16838" w:orient="portrait"/>
      <w:pgMar w:top="1702" w:right="1558" w:bottom="127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宋体"/>
    <w:panose1 w:val="02010800040000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BA34F2"/>
    <w:lvl w:ilvl="0" w:tplc="9C8403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黑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0"/>
    <w:qFormat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qFormat/>
    <w:rPr>
      <w:rFonts w:ascii="Calibri" w:cs="黑体" w:hAnsi="Calibri"/>
      <w:kern w:val="2"/>
      <w:sz w:val="18"/>
      <w:szCs w:val="18"/>
    </w:rPr>
  </w:style>
  <w:style w:type="paragraph" w:customStyle="1" w:styleId="style4101">
    <w:name w:val="列出段落2"/>
    <w:basedOn w:val="style0"/>
    <w:next w:val="style4101"/>
    <w:qFormat/>
    <w:uiPriority w:val="99"/>
    <w:pPr>
      <w:ind w:firstLine="420" w:firstLineChars="200"/>
    </w:pPr>
    <w:rPr/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Words>891</Words>
  <Characters>1229</Characters>
  <Application>WPS Office</Application>
  <DocSecurity>0</DocSecurity>
  <Paragraphs>322</Paragraphs>
  <ScaleCrop>false</ScaleCrop>
  <Company>微软中国</Company>
  <LinksUpToDate>false</LinksUpToDate>
  <CharactersWithSpaces>1348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2016-04-28T03:03:00Z</dcterms:created>
  <dc:creator>Administrator</dc:creator>
  <lastModifiedBy>HUAWEI MLA-AL10</lastModifiedBy>
  <lastPrinted>2017-05-02T01:39:00Z</lastPrinted>
  <dcterms:modified xsi:type="dcterms:W3CDTF">2018-04-19T14:24:51Z</dcterms:modified>
  <revision>25</revision>
  <dc:title>河南大学2014年教职工排球比赛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