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240" w:lineRule="auto"/>
        <w:ind w:right="-733" w:rightChars="-349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</w:rPr>
        <w:t>2020年春季学期延期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</w:rPr>
        <w:t>开设的研究生公共课程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35" w:beforeAutospacing="0" w:after="135" w:afterAutospacing="0" w:line="240" w:lineRule="auto"/>
        <w:ind w:right="-733" w:rightChars="-349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2"/>
          <w:szCs w:val="32"/>
        </w:rPr>
      </w:pPr>
    </w:p>
    <w:tbl>
      <w:tblPr>
        <w:tblW w:w="92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1"/>
        <w:gridCol w:w="1575"/>
        <w:gridCol w:w="1920"/>
        <w:gridCol w:w="25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课程名称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开设校区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原授课时间</w:t>
            </w:r>
          </w:p>
        </w:tc>
        <w:tc>
          <w:tcPr>
            <w:tcW w:w="25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调整后授课时间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第一外国语（含听力）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2-11周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8-17周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科学道德与学术规范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模糊数学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职业道德修养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GIS及应用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弹塑性力学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8-18周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8-18周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工程伦理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高等土力学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龙子湖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11-19周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11-19周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模糊数学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花园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2-10周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8-16周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第一外国语（含听力）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花园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2-11周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8-17周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矩阵论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花园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2-11周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8-17周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陈庆玲</cp:lastModifiedBy>
  <dcterms:modified xsi:type="dcterms:W3CDTF">2020-02-06T01:50:10Z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